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работающей в музее «</w:t>
      </w:r>
      <w:r>
        <w:rPr>
          <w:rFonts w:ascii="Times New Roman" w:eastAsia="Times New Roman" w:hAnsi="Times New Roman" w:cs="Times New Roman"/>
        </w:rPr>
        <w:t>Торум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Маа</w:t>
      </w:r>
      <w:r>
        <w:rPr>
          <w:rFonts w:ascii="Times New Roman" w:eastAsia="Times New Roman" w:hAnsi="Times New Roman" w:cs="Times New Roman"/>
        </w:rPr>
        <w:t xml:space="preserve">», имеющей на иждивении троих малолетних детей,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18810086230000906793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обстоятельствам правонарушения пояснила,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18810086230000906793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оплатила. Ранее она была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заключила брак с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, после заключения брака у неё фамилия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составлении протокола об административном правонарушении предъявила водительское удостоверение, выданное на имя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поэтому протокол был составлен в отношении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18810086230000906793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0rplc-27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18810086230000906793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 Д.Б.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545374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18810086230000906793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2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Д.Б.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Куниной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Д.Б.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0412365400725024102420134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Sumgrp-21rplc-39">
    <w:name w:val="cat-Sum grp-21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